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F770" w14:textId="77777777" w:rsidR="00FE067E" w:rsidRPr="001753D4" w:rsidRDefault="003C6034" w:rsidP="00CC1F3B">
      <w:pPr>
        <w:pStyle w:val="TitlePageOrigin"/>
        <w:rPr>
          <w:color w:val="auto"/>
        </w:rPr>
      </w:pPr>
      <w:r w:rsidRPr="001753D4">
        <w:rPr>
          <w:caps w:val="0"/>
          <w:color w:val="auto"/>
        </w:rPr>
        <w:t>WEST VIRGINIA LEGISLATURE</w:t>
      </w:r>
    </w:p>
    <w:p w14:paraId="2CBD42A1" w14:textId="77777777" w:rsidR="00CD36CF" w:rsidRPr="001753D4" w:rsidRDefault="00CD36CF" w:rsidP="00CC1F3B">
      <w:pPr>
        <w:pStyle w:val="TitlePageSession"/>
        <w:rPr>
          <w:color w:val="auto"/>
        </w:rPr>
      </w:pPr>
      <w:r w:rsidRPr="001753D4">
        <w:rPr>
          <w:color w:val="auto"/>
        </w:rPr>
        <w:t>20</w:t>
      </w:r>
      <w:r w:rsidR="00EC5E63" w:rsidRPr="001753D4">
        <w:rPr>
          <w:color w:val="auto"/>
        </w:rPr>
        <w:t>2</w:t>
      </w:r>
      <w:r w:rsidR="00400B5C" w:rsidRPr="001753D4">
        <w:rPr>
          <w:color w:val="auto"/>
        </w:rPr>
        <w:t>2</w:t>
      </w:r>
      <w:r w:rsidRPr="001753D4">
        <w:rPr>
          <w:color w:val="auto"/>
        </w:rPr>
        <w:t xml:space="preserve"> </w:t>
      </w:r>
      <w:r w:rsidR="003C6034" w:rsidRPr="001753D4">
        <w:rPr>
          <w:caps w:val="0"/>
          <w:color w:val="auto"/>
        </w:rPr>
        <w:t>REGULAR SESSION</w:t>
      </w:r>
    </w:p>
    <w:p w14:paraId="73B1E424" w14:textId="77777777" w:rsidR="00CD36CF" w:rsidRPr="001753D4" w:rsidRDefault="009A3DB3" w:rsidP="00CC1F3B">
      <w:pPr>
        <w:pStyle w:val="TitlePageBillPrefix"/>
        <w:rPr>
          <w:color w:val="auto"/>
        </w:rPr>
      </w:pPr>
      <w:sdt>
        <w:sdtPr>
          <w:rPr>
            <w:color w:val="auto"/>
          </w:rPr>
          <w:tag w:val="IntroDate"/>
          <w:id w:val="-1236936958"/>
          <w:placeholder>
            <w:docPart w:val="87020E5797FF4D6A97F2B5E6E475EFBD"/>
          </w:placeholder>
          <w:text/>
        </w:sdtPr>
        <w:sdtEndPr/>
        <w:sdtContent>
          <w:r w:rsidR="00AE48A0" w:rsidRPr="001753D4">
            <w:rPr>
              <w:color w:val="auto"/>
            </w:rPr>
            <w:t>Introduced</w:t>
          </w:r>
        </w:sdtContent>
      </w:sdt>
    </w:p>
    <w:p w14:paraId="0A8A2820" w14:textId="355D40E4" w:rsidR="00CD36CF" w:rsidRPr="001753D4" w:rsidRDefault="009A3DB3" w:rsidP="00CC1F3B">
      <w:pPr>
        <w:pStyle w:val="BillNumber"/>
        <w:rPr>
          <w:color w:val="auto"/>
        </w:rPr>
      </w:pPr>
      <w:sdt>
        <w:sdtPr>
          <w:rPr>
            <w:color w:val="auto"/>
          </w:rPr>
          <w:tag w:val="Chamber"/>
          <w:id w:val="893011969"/>
          <w:lock w:val="sdtLocked"/>
          <w:placeholder>
            <w:docPart w:val="E94D4F93385E44F9B764F686ABABB48E"/>
          </w:placeholder>
          <w:dropDownList>
            <w:listItem w:displayText="House" w:value="House"/>
            <w:listItem w:displayText="Senate" w:value="Senate"/>
          </w:dropDownList>
        </w:sdtPr>
        <w:sdtEndPr/>
        <w:sdtContent>
          <w:r w:rsidR="006C066A" w:rsidRPr="001753D4">
            <w:rPr>
              <w:color w:val="auto"/>
            </w:rPr>
            <w:t>Senate</w:t>
          </w:r>
        </w:sdtContent>
      </w:sdt>
      <w:r w:rsidR="00303684" w:rsidRPr="001753D4">
        <w:rPr>
          <w:color w:val="auto"/>
        </w:rPr>
        <w:t xml:space="preserve"> </w:t>
      </w:r>
      <w:r w:rsidR="00CD36CF" w:rsidRPr="001753D4">
        <w:rPr>
          <w:color w:val="auto"/>
        </w:rPr>
        <w:t xml:space="preserve">Bill </w:t>
      </w:r>
      <w:sdt>
        <w:sdtPr>
          <w:rPr>
            <w:color w:val="auto"/>
          </w:rPr>
          <w:tag w:val="BNum"/>
          <w:id w:val="1645317809"/>
          <w:lock w:val="sdtLocked"/>
          <w:placeholder>
            <w:docPart w:val="C6E68E74AEF14550AD9A33FB5F8C2E2A"/>
          </w:placeholder>
          <w:text/>
        </w:sdtPr>
        <w:sdtEndPr/>
        <w:sdtContent>
          <w:r w:rsidR="00945B17">
            <w:rPr>
              <w:color w:val="auto"/>
            </w:rPr>
            <w:t>607</w:t>
          </w:r>
        </w:sdtContent>
      </w:sdt>
    </w:p>
    <w:p w14:paraId="71320E97" w14:textId="0AEFFD08" w:rsidR="00CD36CF" w:rsidRPr="001753D4" w:rsidRDefault="00CD36CF" w:rsidP="00CC1F3B">
      <w:pPr>
        <w:pStyle w:val="Sponsors"/>
        <w:rPr>
          <w:color w:val="auto"/>
        </w:rPr>
      </w:pPr>
      <w:r w:rsidRPr="001753D4">
        <w:rPr>
          <w:color w:val="auto"/>
        </w:rPr>
        <w:t xml:space="preserve">By </w:t>
      </w:r>
      <w:sdt>
        <w:sdtPr>
          <w:rPr>
            <w:color w:val="auto"/>
          </w:rPr>
          <w:tag w:val="Sponsors"/>
          <w:id w:val="1589585889"/>
          <w:placeholder>
            <w:docPart w:val="1A233D0B9C4E4E78814B4F25EB7E2BA7"/>
          </w:placeholder>
          <w:text w:multiLine="1"/>
        </w:sdtPr>
        <w:sdtEndPr/>
        <w:sdtContent>
          <w:r w:rsidR="006C066A" w:rsidRPr="001753D4">
            <w:rPr>
              <w:color w:val="auto"/>
            </w:rPr>
            <w:t>Senator</w:t>
          </w:r>
          <w:r w:rsidR="007D4923">
            <w:rPr>
              <w:color w:val="auto"/>
            </w:rPr>
            <w:t>s</w:t>
          </w:r>
          <w:r w:rsidR="006C066A" w:rsidRPr="001753D4">
            <w:rPr>
              <w:color w:val="auto"/>
            </w:rPr>
            <w:t xml:space="preserve"> Sypolt</w:t>
          </w:r>
          <w:r w:rsidR="002E7F16">
            <w:rPr>
              <w:color w:val="auto"/>
            </w:rPr>
            <w:t>,</w:t>
          </w:r>
          <w:r w:rsidR="007D4923">
            <w:rPr>
              <w:color w:val="auto"/>
            </w:rPr>
            <w:t xml:space="preserve"> Plymale</w:t>
          </w:r>
          <w:r w:rsidR="002E7F16">
            <w:rPr>
              <w:color w:val="auto"/>
            </w:rPr>
            <w:t>, Takubo</w:t>
          </w:r>
          <w:r w:rsidR="009A3DB3">
            <w:rPr>
              <w:color w:val="auto"/>
            </w:rPr>
            <w:t>, and Maroney</w:t>
          </w:r>
        </w:sdtContent>
      </w:sdt>
    </w:p>
    <w:p w14:paraId="2866B530" w14:textId="375153E8" w:rsidR="00E831B3" w:rsidRPr="001753D4" w:rsidRDefault="00CD36CF" w:rsidP="00CC1F3B">
      <w:pPr>
        <w:pStyle w:val="References"/>
        <w:rPr>
          <w:color w:val="auto"/>
        </w:rPr>
      </w:pPr>
      <w:r w:rsidRPr="001753D4">
        <w:rPr>
          <w:color w:val="auto"/>
        </w:rPr>
        <w:t>[</w:t>
      </w:r>
      <w:sdt>
        <w:sdtPr>
          <w:rPr>
            <w:color w:val="auto"/>
          </w:rPr>
          <w:tag w:val="References"/>
          <w:id w:val="-1043047873"/>
          <w:placeholder>
            <w:docPart w:val="4F248C0898E04415A5903032663B2E68"/>
          </w:placeholder>
          <w:text w:multiLine="1"/>
        </w:sdtPr>
        <w:sdtEndPr/>
        <w:sdtContent>
          <w:r w:rsidR="006C066A" w:rsidRPr="001753D4">
            <w:rPr>
              <w:color w:val="auto"/>
            </w:rPr>
            <w:t>Introduced</w:t>
          </w:r>
          <w:r w:rsidR="00945B17">
            <w:rPr>
              <w:color w:val="auto"/>
            </w:rPr>
            <w:t xml:space="preserve"> February 09, 2022</w:t>
          </w:r>
          <w:r w:rsidR="007A7D99" w:rsidRPr="001753D4">
            <w:rPr>
              <w:color w:val="auto"/>
            </w:rPr>
            <w:t xml:space="preserve">; referred </w:t>
          </w:r>
          <w:r w:rsidR="007A7D99" w:rsidRPr="001753D4">
            <w:rPr>
              <w:color w:val="auto"/>
            </w:rPr>
            <w:br/>
            <w:t>to the Committee on</w:t>
          </w:r>
          <w:r w:rsidR="00A85FA6">
            <w:rPr>
              <w:color w:val="auto"/>
            </w:rPr>
            <w:t xml:space="preserve"> Finance</w:t>
          </w:r>
        </w:sdtContent>
      </w:sdt>
      <w:r w:rsidRPr="001753D4">
        <w:rPr>
          <w:color w:val="auto"/>
        </w:rPr>
        <w:t>]</w:t>
      </w:r>
    </w:p>
    <w:p w14:paraId="0741AF82" w14:textId="73F031A4" w:rsidR="00303684" w:rsidRPr="001753D4" w:rsidRDefault="0000526A" w:rsidP="00CC1F3B">
      <w:pPr>
        <w:pStyle w:val="TitleSection"/>
        <w:rPr>
          <w:color w:val="auto"/>
        </w:rPr>
      </w:pPr>
      <w:r w:rsidRPr="001753D4">
        <w:rPr>
          <w:color w:val="auto"/>
        </w:rPr>
        <w:lastRenderedPageBreak/>
        <w:t>A BILL</w:t>
      </w:r>
      <w:r w:rsidR="00E02D00" w:rsidRPr="001753D4">
        <w:rPr>
          <w:color w:val="auto"/>
        </w:rPr>
        <w:t xml:space="preserve"> to</w:t>
      </w:r>
      <w:r w:rsidR="006C066A" w:rsidRPr="001753D4">
        <w:rPr>
          <w:color w:val="auto"/>
        </w:rPr>
        <w:t xml:space="preserve"> amend and reenact §5-16-8 of the Code of West Virginia, 1931, as amended, relating to the West Virginia Public Employees Insurance Act; conditions of insurance program; and requiring that provider reimbursement schedules shall be no lower than the reimbursement provided for the same services under Medicare.</w:t>
      </w:r>
    </w:p>
    <w:p w14:paraId="7DF6C31F" w14:textId="77777777" w:rsidR="00303684" w:rsidRPr="001753D4" w:rsidRDefault="00303684" w:rsidP="00CC1F3B">
      <w:pPr>
        <w:pStyle w:val="EnactingClause"/>
        <w:rPr>
          <w:color w:val="auto"/>
        </w:rPr>
      </w:pPr>
      <w:r w:rsidRPr="001753D4">
        <w:rPr>
          <w:color w:val="auto"/>
        </w:rPr>
        <w:t>Be it enacted by the Legislature of West Virginia:</w:t>
      </w:r>
    </w:p>
    <w:p w14:paraId="7EA8859A" w14:textId="77777777" w:rsidR="003C6034" w:rsidRPr="001753D4" w:rsidRDefault="003C6034" w:rsidP="00CC1F3B">
      <w:pPr>
        <w:pStyle w:val="EnactingClause"/>
        <w:rPr>
          <w:color w:val="auto"/>
        </w:rPr>
        <w:sectPr w:rsidR="003C6034" w:rsidRPr="001753D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A75812" w14:textId="77777777" w:rsidR="006C066A" w:rsidRPr="001753D4" w:rsidRDefault="006C066A" w:rsidP="006B408D">
      <w:pPr>
        <w:pStyle w:val="ArticleHeading"/>
        <w:rPr>
          <w:color w:val="auto"/>
        </w:rPr>
        <w:sectPr w:rsidR="006C066A" w:rsidRPr="001753D4" w:rsidSect="005C4B6E">
          <w:type w:val="continuous"/>
          <w:pgSz w:w="12240" w:h="15840" w:code="1"/>
          <w:pgMar w:top="1440" w:right="1440" w:bottom="1440" w:left="1440" w:header="720" w:footer="720" w:gutter="0"/>
          <w:lnNumType w:countBy="1" w:restart="newSection"/>
          <w:cols w:space="720"/>
          <w:titlePg/>
          <w:docGrid w:linePitch="360"/>
        </w:sectPr>
      </w:pPr>
      <w:r w:rsidRPr="001753D4">
        <w:rPr>
          <w:color w:val="auto"/>
        </w:rPr>
        <w:t>ARTICLE 16. WEST VIRGINIA PUBLIC EMPLOYEES INSURANCE ACT.</w:t>
      </w:r>
    </w:p>
    <w:p w14:paraId="59AF2367" w14:textId="77777777" w:rsidR="006C066A" w:rsidRPr="001753D4" w:rsidRDefault="006C066A" w:rsidP="00B42A3D">
      <w:pPr>
        <w:pStyle w:val="SectionHeading"/>
        <w:rPr>
          <w:color w:val="auto"/>
        </w:rPr>
      </w:pPr>
      <w:r w:rsidRPr="001753D4">
        <w:rPr>
          <w:color w:val="auto"/>
        </w:rPr>
        <w:t>§5-16-8. Conditions of insurance program.</w:t>
      </w:r>
    </w:p>
    <w:p w14:paraId="2EEE05BA" w14:textId="77777777" w:rsidR="006C066A" w:rsidRPr="001753D4" w:rsidRDefault="006C066A" w:rsidP="00B42A3D">
      <w:pPr>
        <w:pStyle w:val="SectionBody"/>
        <w:rPr>
          <w:color w:val="auto"/>
        </w:rPr>
      </w:pPr>
      <w:r w:rsidRPr="001753D4">
        <w:rPr>
          <w:color w:val="auto"/>
        </w:rPr>
        <w:t>The insurance plans provided for in this article shall be designed by the Public Employees Insurance Agency:</w:t>
      </w:r>
    </w:p>
    <w:p w14:paraId="7C5E8C34" w14:textId="77777777" w:rsidR="006C066A" w:rsidRPr="001753D4" w:rsidRDefault="006C066A" w:rsidP="00B42A3D">
      <w:pPr>
        <w:pStyle w:val="SectionBody"/>
        <w:rPr>
          <w:color w:val="auto"/>
        </w:rPr>
      </w:pPr>
      <w:r w:rsidRPr="001753D4">
        <w:rPr>
          <w:color w:val="auto"/>
        </w:rPr>
        <w:t>(1)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reasonable and customary expenses by the Public Employees Insurance Agency pursuant to the preceding sentence is not subject to the state administrative procedures act in chapter twenty-nine-a of this code;</w:t>
      </w:r>
    </w:p>
    <w:p w14:paraId="5235ACB6" w14:textId="77777777" w:rsidR="006C066A" w:rsidRPr="001753D4" w:rsidRDefault="006C066A" w:rsidP="00B42A3D">
      <w:pPr>
        <w:pStyle w:val="SectionBody"/>
        <w:rPr>
          <w:color w:val="auto"/>
        </w:rPr>
      </w:pPr>
      <w:r w:rsidRPr="001753D4">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702FABD7" w14:textId="77777777" w:rsidR="006C066A" w:rsidRPr="001753D4" w:rsidRDefault="006C066A" w:rsidP="00B42A3D">
      <w:pPr>
        <w:pStyle w:val="SectionBody"/>
        <w:rPr>
          <w:color w:val="auto"/>
        </w:rPr>
      </w:pPr>
      <w:r w:rsidRPr="001753D4">
        <w:rPr>
          <w:color w:val="auto"/>
        </w:rPr>
        <w:t>(3) To prevent unnecessary utilization of the various hospital, surgical, medical and prescription drug services available;</w:t>
      </w:r>
    </w:p>
    <w:p w14:paraId="6FE03C42" w14:textId="77777777" w:rsidR="006C066A" w:rsidRPr="001753D4" w:rsidRDefault="006C066A" w:rsidP="00B42A3D">
      <w:pPr>
        <w:pStyle w:val="SectionBody"/>
        <w:rPr>
          <w:color w:val="auto"/>
        </w:rPr>
      </w:pPr>
      <w:r w:rsidRPr="001753D4">
        <w:rPr>
          <w:color w:val="auto"/>
        </w:rPr>
        <w:t>(4) To provide reasonable assurance of stability in future years for the plans;</w:t>
      </w:r>
    </w:p>
    <w:p w14:paraId="08749236" w14:textId="77777777" w:rsidR="006C066A" w:rsidRPr="001753D4" w:rsidRDefault="006C066A" w:rsidP="00B42A3D">
      <w:pPr>
        <w:pStyle w:val="SectionBody"/>
        <w:rPr>
          <w:color w:val="auto"/>
        </w:rPr>
      </w:pPr>
      <w:r w:rsidRPr="001753D4">
        <w:rPr>
          <w:color w:val="auto"/>
        </w:rPr>
        <w:t>(5) To provide major medical insurance for the employees covered under this article;</w:t>
      </w:r>
    </w:p>
    <w:p w14:paraId="7B19DA2F" w14:textId="77777777" w:rsidR="006C066A" w:rsidRPr="001753D4" w:rsidRDefault="006C066A" w:rsidP="00B42A3D">
      <w:pPr>
        <w:pStyle w:val="SectionBody"/>
        <w:rPr>
          <w:color w:val="auto"/>
        </w:rPr>
      </w:pPr>
      <w:r w:rsidRPr="001753D4">
        <w:rPr>
          <w:color w:val="auto"/>
        </w:rPr>
        <w:t>(6) To provide certain group life and accidental death insurance for the employees covered under this article;</w:t>
      </w:r>
    </w:p>
    <w:p w14:paraId="29D44299" w14:textId="77777777" w:rsidR="006C066A" w:rsidRPr="001753D4" w:rsidRDefault="006C066A" w:rsidP="00B42A3D">
      <w:pPr>
        <w:pStyle w:val="SectionBody"/>
        <w:rPr>
          <w:color w:val="auto"/>
        </w:rPr>
      </w:pPr>
      <w:r w:rsidRPr="001753D4">
        <w:rPr>
          <w:color w:val="auto"/>
        </w:rPr>
        <w:lastRenderedPageBreak/>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4F0BB56F" w14:textId="77777777" w:rsidR="006C066A" w:rsidRPr="001753D4" w:rsidRDefault="006C066A" w:rsidP="00B42A3D">
      <w:pPr>
        <w:pStyle w:val="SectionBody"/>
        <w:rPr>
          <w:color w:val="auto"/>
        </w:rPr>
      </w:pPr>
      <w:r w:rsidRPr="001753D4">
        <w:rPr>
          <w:color w:val="auto"/>
        </w:rPr>
        <w:t>(8)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board;</w:t>
      </w:r>
    </w:p>
    <w:p w14:paraId="0F3C329A" w14:textId="4F50C78F" w:rsidR="006C066A" w:rsidRPr="001753D4" w:rsidRDefault="006C066A" w:rsidP="00B42A3D">
      <w:pPr>
        <w:pStyle w:val="SectionBody"/>
        <w:rPr>
          <w:color w:val="auto"/>
        </w:rPr>
      </w:pPr>
      <w:r w:rsidRPr="001753D4">
        <w:rPr>
          <w:color w:val="auto"/>
        </w:rPr>
        <w:t xml:space="preserve">(9) To provide </w:t>
      </w:r>
      <w:r w:rsidR="00934990" w:rsidRPr="001753D4">
        <w:rPr>
          <w:color w:val="auto"/>
        </w:rPr>
        <w:t>“</w:t>
      </w:r>
      <w:r w:rsidRPr="001753D4">
        <w:rPr>
          <w:color w:val="auto"/>
        </w:rPr>
        <w:t>wellness</w:t>
      </w:r>
      <w:r w:rsidR="00934990" w:rsidRPr="001753D4">
        <w:rPr>
          <w:color w:val="auto"/>
        </w:rPr>
        <w:t>”</w:t>
      </w:r>
      <w:r w:rsidRPr="001753D4">
        <w:rPr>
          <w:color w:val="auto"/>
        </w:rPr>
        <w:t xml:space="preserve"> programs and activities which will include, but not be limited to, benefit plan incentives to discourage tobacco, alcohol and chemical abuse and an educational program to encourage proper diet and exercise. In establishing </w:t>
      </w:r>
      <w:r w:rsidR="00934990" w:rsidRPr="001753D4">
        <w:rPr>
          <w:color w:val="auto"/>
        </w:rPr>
        <w:t>“</w:t>
      </w:r>
      <w:r w:rsidRPr="001753D4">
        <w:rPr>
          <w:color w:val="auto"/>
        </w:rPr>
        <w:t>wellness</w:t>
      </w:r>
      <w:r w:rsidR="00934990" w:rsidRPr="001753D4">
        <w:rPr>
          <w:color w:val="auto"/>
        </w:rPr>
        <w:t>”</w:t>
      </w:r>
      <w:r w:rsidRPr="001753D4">
        <w:rPr>
          <w:color w:val="auto"/>
        </w:rPr>
        <w:t xml:space="preserve"> programs, the division of vocational rehabilitation shall cooperate with the Public Employees Insurance Agency in establishing statewide wellness programs. The director of the Public Employees Insurance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Public Employees Insurance Agency, or participating employees, their spouses or dependents. All exercise programs shall be made available to all employees, their spouses or dependents and shall not be limited to employees of county boards of education;</w:t>
      </w:r>
    </w:p>
    <w:p w14:paraId="136DF82B" w14:textId="77777777" w:rsidR="006C066A" w:rsidRPr="001753D4" w:rsidRDefault="006C066A" w:rsidP="00B42A3D">
      <w:pPr>
        <w:pStyle w:val="SectionBody"/>
        <w:rPr>
          <w:color w:val="auto"/>
        </w:rPr>
      </w:pPr>
      <w:r w:rsidRPr="001753D4">
        <w:rPr>
          <w:color w:val="auto"/>
        </w:rPr>
        <w:t xml:space="preserve">(10) To provide a program, to be administered by the director,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w:t>
      </w:r>
      <w:r w:rsidRPr="001753D4">
        <w:rPr>
          <w:color w:val="auto"/>
        </w:rPr>
        <w:lastRenderedPageBreak/>
        <w:t>of the plan;</w:t>
      </w:r>
    </w:p>
    <w:p w14:paraId="7CD64243" w14:textId="5038FC60" w:rsidR="006C066A" w:rsidRPr="001753D4" w:rsidRDefault="006C066A" w:rsidP="00B42A3D">
      <w:pPr>
        <w:pStyle w:val="SectionBody"/>
        <w:rPr>
          <w:strike/>
          <w:color w:val="auto"/>
        </w:rPr>
      </w:pPr>
      <w:r w:rsidRPr="001753D4">
        <w:rPr>
          <w:color w:val="auto"/>
        </w:rPr>
        <w:t xml:space="preserve">(11) To require that all employers give written notice to each covered employee prior to institution of any changes in benefits to employees, and to include appropriate penalty for any employer not providing the required information to any employee; </w:t>
      </w:r>
      <w:r w:rsidRPr="001753D4">
        <w:rPr>
          <w:strike/>
          <w:color w:val="auto"/>
        </w:rPr>
        <w:t>and</w:t>
      </w:r>
    </w:p>
    <w:p w14:paraId="60DF6E47" w14:textId="588843A2" w:rsidR="00E95256" w:rsidRPr="001753D4" w:rsidRDefault="00E95256" w:rsidP="00E95256">
      <w:pPr>
        <w:pStyle w:val="SectionBody"/>
        <w:rPr>
          <w:color w:val="auto"/>
          <w:u w:val="single"/>
        </w:rPr>
      </w:pPr>
      <w:r w:rsidRPr="001753D4">
        <w:rPr>
          <w:color w:val="auto"/>
          <w:u w:val="single"/>
        </w:rPr>
        <w:t>(12) To require that provider reimbursement schedules shall be no lower than the reimbursement provided for the same services under Medicare; and</w:t>
      </w:r>
    </w:p>
    <w:p w14:paraId="42B910D5" w14:textId="05E7A266" w:rsidR="006C066A" w:rsidRPr="001753D4" w:rsidRDefault="006C066A" w:rsidP="00B42A3D">
      <w:pPr>
        <w:pStyle w:val="SectionBody"/>
        <w:rPr>
          <w:color w:val="auto"/>
        </w:rPr>
      </w:pPr>
      <w:r w:rsidRPr="001753D4">
        <w:rPr>
          <w:strike/>
          <w:color w:val="auto"/>
        </w:rPr>
        <w:t>(12)</w:t>
      </w:r>
      <w:r w:rsidR="00E95256" w:rsidRPr="001753D4">
        <w:rPr>
          <w:color w:val="auto"/>
        </w:rPr>
        <w:t>(</w:t>
      </w:r>
      <w:r w:rsidR="00E95256" w:rsidRPr="001753D4">
        <w:rPr>
          <w:color w:val="auto"/>
          <w:u w:val="single"/>
        </w:rPr>
        <w:t>13)</w:t>
      </w:r>
      <w:r w:rsidRPr="001753D4">
        <w:rPr>
          <w:color w:val="auto"/>
        </w:rPr>
        <w:t xml:space="preserve">(a) To provide coverage for emergency services under offered plans. For the purposes of this subsection, </w:t>
      </w:r>
      <w:r w:rsidR="00934990" w:rsidRPr="001753D4">
        <w:rPr>
          <w:color w:val="auto"/>
        </w:rPr>
        <w:t>“</w:t>
      </w:r>
      <w:r w:rsidRPr="001753D4">
        <w:rPr>
          <w:color w:val="auto"/>
        </w:rPr>
        <w:t>emergency services</w:t>
      </w:r>
      <w:r w:rsidR="00934990" w:rsidRPr="001753D4">
        <w:rPr>
          <w:color w:val="auto"/>
        </w:rPr>
        <w:t>”</w:t>
      </w:r>
      <w:r w:rsidRPr="001753D4">
        <w:rPr>
          <w:color w:val="auto"/>
        </w:rPr>
        <w:t xml:space="preserve"> means services provided in or by a hospital emergency facility, an ambulance providing related services under the provisions of article four-c, chapter sixteen of this code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w:t>
      </w:r>
      <w:r w:rsidRPr="001753D4">
        <w:rPr>
          <w:color w:val="auto"/>
        </w:rPr>
        <w:sym w:font="Arial" w:char="0027"/>
      </w:r>
      <w:r w:rsidRPr="001753D4">
        <w:rPr>
          <w:color w:val="auto"/>
        </w:rPr>
        <w:t>s health in jeopardy</w:t>
      </w:r>
      <w:r w:rsidR="00AA2717" w:rsidRPr="001753D4">
        <w:rPr>
          <w:color w:val="auto"/>
        </w:rPr>
        <w:t>.</w:t>
      </w:r>
      <w:r w:rsidRPr="001753D4">
        <w:rPr>
          <w:color w:val="auto"/>
        </w:rPr>
        <w:t xml:space="preserve"> </w:t>
      </w:r>
    </w:p>
    <w:p w14:paraId="50C78508" w14:textId="0BBBAFFC" w:rsidR="006C066A" w:rsidRPr="001753D4" w:rsidRDefault="006C066A" w:rsidP="00B42A3D">
      <w:pPr>
        <w:pStyle w:val="SectionBody"/>
        <w:rPr>
          <w:color w:val="auto"/>
          <w:u w:val="single"/>
        </w:rPr>
      </w:pPr>
      <w:r w:rsidRPr="001753D4">
        <w:rPr>
          <w:color w:val="auto"/>
        </w:rPr>
        <w:t xml:space="preserve">(b) From July 1, 1998, plans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shall not be required for the screening services if a prudent layperson acting reasonably would have believed that an emergency medical condition existed. Prior authorization of coverage shall not be required for stabilization if an emergency medical condition exists. In the event that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postevaluation </w:t>
      </w:r>
      <w:r w:rsidRPr="001753D4">
        <w:rPr>
          <w:color w:val="auto"/>
        </w:rPr>
        <w:lastRenderedPageBreak/>
        <w:t>or poststabilization services. Payment of claims for emergency services shall be based on the retrospective review of the presenting history and symptoms of the covered person</w:t>
      </w:r>
      <w:r w:rsidR="00AA2717" w:rsidRPr="001753D4">
        <w:rPr>
          <w:color w:val="auto"/>
        </w:rPr>
        <w:t>.</w:t>
      </w:r>
      <w:r w:rsidR="00AA2717" w:rsidRPr="001753D4">
        <w:rPr>
          <w:color w:val="auto"/>
          <w:u w:val="single"/>
        </w:rPr>
        <w:t xml:space="preserve"> </w:t>
      </w:r>
    </w:p>
    <w:p w14:paraId="114772F4" w14:textId="7C1DE710" w:rsidR="006C066A" w:rsidRPr="001753D4" w:rsidRDefault="006C066A" w:rsidP="00B42A3D">
      <w:pPr>
        <w:pStyle w:val="SectionBody"/>
        <w:rPr>
          <w:color w:val="auto"/>
        </w:rPr>
      </w:pPr>
      <w:r w:rsidRPr="001753D4">
        <w:rPr>
          <w:color w:val="auto"/>
        </w:rPr>
        <w:t>(c) For purposes of this subdivision:</w:t>
      </w:r>
    </w:p>
    <w:p w14:paraId="7D11B575" w14:textId="39CB2D10" w:rsidR="006C066A" w:rsidRPr="001753D4" w:rsidRDefault="006C066A" w:rsidP="00B42A3D">
      <w:pPr>
        <w:pStyle w:val="SectionBody"/>
        <w:rPr>
          <w:color w:val="auto"/>
        </w:rPr>
      </w:pPr>
      <w:r w:rsidRPr="001753D4">
        <w:rPr>
          <w:color w:val="auto"/>
        </w:rPr>
        <w:t xml:space="preserve">(A) </w:t>
      </w:r>
      <w:r w:rsidR="00934990" w:rsidRPr="001753D4">
        <w:rPr>
          <w:color w:val="auto"/>
        </w:rPr>
        <w:t>“</w:t>
      </w:r>
      <w:r w:rsidRPr="001753D4">
        <w:rPr>
          <w:color w:val="auto"/>
        </w:rPr>
        <w:t>Emergency services</w:t>
      </w:r>
      <w:r w:rsidR="00934990" w:rsidRPr="001753D4">
        <w:rPr>
          <w:color w:val="auto"/>
        </w:rPr>
        <w:t>”</w:t>
      </w:r>
      <w:r w:rsidRPr="001753D4">
        <w:rPr>
          <w:color w:val="auto"/>
        </w:rPr>
        <w:t xml:space="preserve"> means those services required to screen for or treat an emergency medical condition until the condition is stabilized, including prehospital care; </w:t>
      </w:r>
    </w:p>
    <w:p w14:paraId="2B6B39E6" w14:textId="2E709827" w:rsidR="006C066A" w:rsidRPr="001753D4" w:rsidRDefault="006C066A" w:rsidP="00B42A3D">
      <w:pPr>
        <w:pStyle w:val="SectionBody"/>
        <w:rPr>
          <w:color w:val="auto"/>
        </w:rPr>
      </w:pPr>
      <w:r w:rsidRPr="001753D4">
        <w:rPr>
          <w:color w:val="auto"/>
        </w:rPr>
        <w:t xml:space="preserve">(B) </w:t>
      </w:r>
      <w:r w:rsidR="00934990" w:rsidRPr="001753D4">
        <w:rPr>
          <w:color w:val="auto"/>
        </w:rPr>
        <w:t>“</w:t>
      </w:r>
      <w:r w:rsidRPr="001753D4">
        <w:rPr>
          <w:color w:val="auto"/>
        </w:rPr>
        <w:t>Prudent layperson</w:t>
      </w:r>
      <w:r w:rsidR="00934990" w:rsidRPr="001753D4">
        <w:rPr>
          <w:color w:val="auto"/>
        </w:rPr>
        <w:t>”</w:t>
      </w:r>
      <w:r w:rsidRPr="001753D4">
        <w:rPr>
          <w:color w:val="auto"/>
        </w:rPr>
        <w:t xml:space="preserve"> means a person who is without medical training and who draws on his or her practical experience when making a decision regarding whether an emergency medical condition exists for which emergency treatment should be sought;</w:t>
      </w:r>
    </w:p>
    <w:p w14:paraId="4B98F1B7" w14:textId="6E3894B7" w:rsidR="006C066A" w:rsidRPr="001753D4" w:rsidRDefault="006C066A" w:rsidP="00B42A3D">
      <w:pPr>
        <w:pStyle w:val="SectionBody"/>
        <w:rPr>
          <w:color w:val="auto"/>
        </w:rPr>
      </w:pPr>
      <w:r w:rsidRPr="001753D4">
        <w:rPr>
          <w:color w:val="auto"/>
        </w:rPr>
        <w:t xml:space="preserve">(C) </w:t>
      </w:r>
      <w:r w:rsidR="00934990" w:rsidRPr="001753D4">
        <w:rPr>
          <w:color w:val="auto"/>
        </w:rPr>
        <w:t>“</w:t>
      </w:r>
      <w:r w:rsidRPr="001753D4">
        <w:rPr>
          <w:color w:val="auto"/>
        </w:rPr>
        <w:t>Emergency medical condition for the prudent layperson</w:t>
      </w:r>
      <w:r w:rsidR="00934990" w:rsidRPr="001753D4">
        <w:rPr>
          <w:color w:val="auto"/>
        </w:rPr>
        <w:t>”</w:t>
      </w:r>
      <w:r w:rsidRPr="001753D4">
        <w:rPr>
          <w:color w:val="auto"/>
        </w:rPr>
        <w:t xml:space="preserve"> means one that manifests itself by acute symptoms of sufficient severity, including severe pain, such that the person could reasonably expect the absence of immediate medical attention to result in serious jeopardy to the individual</w:t>
      </w:r>
      <w:r w:rsidRPr="001753D4">
        <w:rPr>
          <w:color w:val="auto"/>
        </w:rPr>
        <w:sym w:font="Arial" w:char="0027"/>
      </w:r>
      <w:r w:rsidRPr="001753D4">
        <w:rPr>
          <w:color w:val="auto"/>
        </w:rPr>
        <w:t xml:space="preserve">s health, or, with respect to a pregnant woman, the health of the unborn child; serious impairment to bodily functions; or serious dysfunction of any bodily organ or part; </w:t>
      </w:r>
    </w:p>
    <w:p w14:paraId="457DC60F" w14:textId="3F0BAED8" w:rsidR="006C066A" w:rsidRPr="001753D4" w:rsidRDefault="006C066A" w:rsidP="00B42A3D">
      <w:pPr>
        <w:pStyle w:val="SectionBody"/>
        <w:rPr>
          <w:color w:val="auto"/>
        </w:rPr>
      </w:pPr>
      <w:r w:rsidRPr="001753D4">
        <w:rPr>
          <w:color w:val="auto"/>
        </w:rPr>
        <w:t xml:space="preserve">(D) </w:t>
      </w:r>
      <w:r w:rsidR="00934990" w:rsidRPr="001753D4">
        <w:rPr>
          <w:color w:val="auto"/>
        </w:rPr>
        <w:t>“</w:t>
      </w:r>
      <w:r w:rsidRPr="001753D4">
        <w:rPr>
          <w:color w:val="auto"/>
        </w:rPr>
        <w:t>Stabilize</w:t>
      </w:r>
      <w:r w:rsidR="00934990" w:rsidRPr="001753D4">
        <w:rPr>
          <w:color w:val="auto"/>
        </w:rPr>
        <w:t>”</w:t>
      </w:r>
      <w:r w:rsidRPr="001753D4">
        <w:rPr>
          <w:color w:val="auto"/>
        </w:rPr>
        <w:t xml:space="preserv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1753D4">
        <w:rPr>
          <w:i/>
          <w:iCs/>
          <w:color w:val="auto"/>
        </w:rPr>
        <w:t>Provided,</w:t>
      </w:r>
      <w:r w:rsidRPr="001753D4">
        <w:rPr>
          <w:color w:val="auto"/>
        </w:rPr>
        <w:t xml:space="preserve"> That this provision may not be construed to prohibit, limit or otherwise delay the transportation required for a higher level of care than that possible at the treating facility;</w:t>
      </w:r>
    </w:p>
    <w:p w14:paraId="0523F95B" w14:textId="2AD7C20A" w:rsidR="006C066A" w:rsidRPr="001753D4" w:rsidRDefault="006C066A" w:rsidP="00B42A3D">
      <w:pPr>
        <w:pStyle w:val="SectionBody"/>
        <w:rPr>
          <w:color w:val="auto"/>
        </w:rPr>
      </w:pPr>
      <w:r w:rsidRPr="001753D4">
        <w:rPr>
          <w:color w:val="auto"/>
        </w:rPr>
        <w:t xml:space="preserve">(E) </w:t>
      </w:r>
      <w:r w:rsidR="00934990" w:rsidRPr="001753D4">
        <w:rPr>
          <w:color w:val="auto"/>
        </w:rPr>
        <w:t>“</w:t>
      </w:r>
      <w:r w:rsidRPr="001753D4">
        <w:rPr>
          <w:color w:val="auto"/>
        </w:rPr>
        <w:t>Medical screening examination</w:t>
      </w:r>
      <w:r w:rsidR="00934990" w:rsidRPr="001753D4">
        <w:rPr>
          <w:color w:val="auto"/>
        </w:rPr>
        <w:t>”</w:t>
      </w:r>
      <w:r w:rsidRPr="001753D4">
        <w:rPr>
          <w:color w:val="auto"/>
        </w:rPr>
        <w:t xml:space="preserve"> means an appropriate examination within the capability of the hospital</w:t>
      </w:r>
      <w:r w:rsidRPr="001753D4">
        <w:rPr>
          <w:color w:val="auto"/>
        </w:rPr>
        <w:sym w:font="Arial" w:char="0027"/>
      </w:r>
      <w:r w:rsidRPr="001753D4">
        <w:rPr>
          <w:color w:val="auto"/>
        </w:rPr>
        <w:t xml:space="preserve">s emergency department, including ancillary services routinely available to the emergency department, to determine whether or not an emergency medical condition exists; and </w:t>
      </w:r>
    </w:p>
    <w:p w14:paraId="227B78AD" w14:textId="4EC39245" w:rsidR="00AA2717" w:rsidRPr="001753D4" w:rsidRDefault="006C066A" w:rsidP="00AA2717">
      <w:pPr>
        <w:pStyle w:val="SectionBody"/>
        <w:rPr>
          <w:color w:val="auto"/>
          <w:u w:val="single"/>
        </w:rPr>
      </w:pPr>
      <w:r w:rsidRPr="001753D4">
        <w:rPr>
          <w:color w:val="auto"/>
        </w:rPr>
        <w:t xml:space="preserve">(F) </w:t>
      </w:r>
      <w:r w:rsidR="00934990" w:rsidRPr="001753D4">
        <w:rPr>
          <w:color w:val="auto"/>
        </w:rPr>
        <w:t>“</w:t>
      </w:r>
      <w:r w:rsidRPr="001753D4">
        <w:rPr>
          <w:color w:val="auto"/>
        </w:rPr>
        <w:t>Emergency medical condition</w:t>
      </w:r>
      <w:r w:rsidR="00934990" w:rsidRPr="001753D4">
        <w:rPr>
          <w:color w:val="auto"/>
        </w:rPr>
        <w:t>”</w:t>
      </w:r>
      <w:r w:rsidRPr="001753D4">
        <w:rPr>
          <w:color w:val="auto"/>
        </w:rPr>
        <w:t xml:space="preserve"> means a condition that manifests itself by acute symptoms of sufficient severity including severe pain such that the absence of immediate medical attention could reasonably be expected to result in serious jeopardy to the individual</w:t>
      </w:r>
      <w:r w:rsidRPr="001753D4">
        <w:rPr>
          <w:color w:val="auto"/>
        </w:rPr>
        <w:sym w:font="Arial" w:char="0027"/>
      </w:r>
      <w:r w:rsidRPr="001753D4">
        <w:rPr>
          <w:color w:val="auto"/>
        </w:rPr>
        <w:t xml:space="preserve">s health or </w:t>
      </w:r>
      <w:r w:rsidRPr="001753D4">
        <w:rPr>
          <w:color w:val="auto"/>
        </w:rPr>
        <w:lastRenderedPageBreak/>
        <w:t>with respect to a pregnant woman the health of the unborn child, serious impairment to bodily functions or serious dysfunction of any bodily part or organ.</w:t>
      </w:r>
    </w:p>
    <w:p w14:paraId="5021CB9C" w14:textId="3A89F459" w:rsidR="006C066A" w:rsidRPr="001753D4" w:rsidRDefault="006C066A" w:rsidP="00B42A3D">
      <w:pPr>
        <w:pStyle w:val="SectionBody"/>
        <w:rPr>
          <w:color w:val="auto"/>
        </w:rPr>
        <w:sectPr w:rsidR="006C066A" w:rsidRPr="001753D4" w:rsidSect="007A7D99">
          <w:type w:val="continuous"/>
          <w:pgSz w:w="12240" w:h="15840" w:code="1"/>
          <w:pgMar w:top="1440" w:right="1440" w:bottom="1440" w:left="1440" w:header="720" w:footer="720" w:gutter="0"/>
          <w:lnNumType w:countBy="1" w:restart="newSection"/>
          <w:cols w:space="720"/>
          <w:docGrid w:linePitch="360"/>
        </w:sectPr>
      </w:pPr>
    </w:p>
    <w:p w14:paraId="695C77E9" w14:textId="77777777" w:rsidR="00C33014" w:rsidRPr="001753D4" w:rsidRDefault="00C33014" w:rsidP="00CC1F3B">
      <w:pPr>
        <w:pStyle w:val="Note"/>
        <w:rPr>
          <w:color w:val="auto"/>
        </w:rPr>
      </w:pPr>
    </w:p>
    <w:p w14:paraId="1B71246D" w14:textId="69AB6D2D" w:rsidR="006865E9" w:rsidRPr="001753D4" w:rsidRDefault="00CF1DCA" w:rsidP="00CC1F3B">
      <w:pPr>
        <w:pStyle w:val="Note"/>
        <w:rPr>
          <w:color w:val="auto"/>
        </w:rPr>
      </w:pPr>
      <w:r w:rsidRPr="001753D4">
        <w:rPr>
          <w:color w:val="auto"/>
        </w:rPr>
        <w:t>NOTE: The</w:t>
      </w:r>
      <w:r w:rsidR="006865E9" w:rsidRPr="001753D4">
        <w:rPr>
          <w:color w:val="auto"/>
        </w:rPr>
        <w:t xml:space="preserve"> purpose of this bill is </w:t>
      </w:r>
      <w:r w:rsidR="006C066A" w:rsidRPr="001753D4">
        <w:rPr>
          <w:color w:val="auto"/>
        </w:rPr>
        <w:t>to require that provider reimbursement schedules under West Virginia Public Employees Insurance be no lower than the reimbursement provided for the same services under Medicare.</w:t>
      </w:r>
    </w:p>
    <w:p w14:paraId="5E8F29F6" w14:textId="77777777" w:rsidR="006865E9" w:rsidRPr="001753D4" w:rsidRDefault="00AE48A0" w:rsidP="00CC1F3B">
      <w:pPr>
        <w:pStyle w:val="Note"/>
        <w:rPr>
          <w:color w:val="auto"/>
        </w:rPr>
      </w:pPr>
      <w:r w:rsidRPr="001753D4">
        <w:rPr>
          <w:color w:val="auto"/>
        </w:rPr>
        <w:t>Strike-throughs indicate language that would be stricken from a heading or the present law and underscoring indicates new language that would be added.</w:t>
      </w:r>
    </w:p>
    <w:sectPr w:rsidR="006865E9" w:rsidRPr="001753D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C781" w14:textId="77777777" w:rsidR="006C066A" w:rsidRPr="00B844FE" w:rsidRDefault="006C066A" w:rsidP="00B844FE">
      <w:r>
        <w:separator/>
      </w:r>
    </w:p>
  </w:endnote>
  <w:endnote w:type="continuationSeparator" w:id="0">
    <w:p w14:paraId="48AE9BBD" w14:textId="77777777" w:rsidR="006C066A" w:rsidRPr="00B844FE" w:rsidRDefault="006C06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F0C4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B439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B566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9D55" w14:textId="77777777" w:rsidR="006C066A" w:rsidRPr="00B844FE" w:rsidRDefault="006C066A" w:rsidP="00B844FE">
      <w:r>
        <w:separator/>
      </w:r>
    </w:p>
  </w:footnote>
  <w:footnote w:type="continuationSeparator" w:id="0">
    <w:p w14:paraId="0F9E87DA" w14:textId="77777777" w:rsidR="006C066A" w:rsidRPr="00B844FE" w:rsidRDefault="006C06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30BA" w14:textId="77777777" w:rsidR="002A0269" w:rsidRPr="00B844FE" w:rsidRDefault="009A3DB3">
    <w:pPr>
      <w:pStyle w:val="Header"/>
    </w:pPr>
    <w:sdt>
      <w:sdtPr>
        <w:id w:val="-684364211"/>
        <w:placeholder>
          <w:docPart w:val="E94D4F93385E44F9B764F686ABABB4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4D4F93385E44F9B764F686ABABB4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A26A" w14:textId="074D77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C066A">
          <w:rPr>
            <w:sz w:val="22"/>
            <w:szCs w:val="22"/>
          </w:rPr>
          <w:t>SB</w:t>
        </w:r>
      </w:sdtContent>
    </w:sdt>
    <w:r w:rsidR="007A5259" w:rsidRPr="00686E9A">
      <w:rPr>
        <w:sz w:val="22"/>
        <w:szCs w:val="22"/>
      </w:rPr>
      <w:t xml:space="preserve"> </w:t>
    </w:r>
    <w:r w:rsidR="00945B17">
      <w:rPr>
        <w:sz w:val="22"/>
        <w:szCs w:val="22"/>
      </w:rPr>
      <w:t>607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066A">
          <w:rPr>
            <w:sz w:val="22"/>
            <w:szCs w:val="22"/>
          </w:rPr>
          <w:t>2022R2567</w:t>
        </w:r>
      </w:sdtContent>
    </w:sdt>
  </w:p>
  <w:p w14:paraId="18555D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32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6A"/>
    <w:rsid w:val="0000526A"/>
    <w:rsid w:val="000573A9"/>
    <w:rsid w:val="00085D22"/>
    <w:rsid w:val="000C5C77"/>
    <w:rsid w:val="000E3912"/>
    <w:rsid w:val="0010070F"/>
    <w:rsid w:val="0015112E"/>
    <w:rsid w:val="001552E7"/>
    <w:rsid w:val="001566B4"/>
    <w:rsid w:val="001753D4"/>
    <w:rsid w:val="001A66B7"/>
    <w:rsid w:val="001C279E"/>
    <w:rsid w:val="001D459E"/>
    <w:rsid w:val="0022348D"/>
    <w:rsid w:val="0027011C"/>
    <w:rsid w:val="00274200"/>
    <w:rsid w:val="00275740"/>
    <w:rsid w:val="002A0269"/>
    <w:rsid w:val="002E7F16"/>
    <w:rsid w:val="00303684"/>
    <w:rsid w:val="00310A9F"/>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066A"/>
    <w:rsid w:val="006C523D"/>
    <w:rsid w:val="006D4036"/>
    <w:rsid w:val="00790A10"/>
    <w:rsid w:val="007A5259"/>
    <w:rsid w:val="007A7081"/>
    <w:rsid w:val="007A7D99"/>
    <w:rsid w:val="007D4923"/>
    <w:rsid w:val="007F1CF5"/>
    <w:rsid w:val="00834EDE"/>
    <w:rsid w:val="008736AA"/>
    <w:rsid w:val="008D275D"/>
    <w:rsid w:val="00934990"/>
    <w:rsid w:val="00945892"/>
    <w:rsid w:val="00945B17"/>
    <w:rsid w:val="00980327"/>
    <w:rsid w:val="00986478"/>
    <w:rsid w:val="009A3DB3"/>
    <w:rsid w:val="009B5557"/>
    <w:rsid w:val="009B5BE1"/>
    <w:rsid w:val="009F1067"/>
    <w:rsid w:val="00A31E01"/>
    <w:rsid w:val="00A43238"/>
    <w:rsid w:val="00A527AD"/>
    <w:rsid w:val="00A718CF"/>
    <w:rsid w:val="00A85FA6"/>
    <w:rsid w:val="00AA271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24FD"/>
    <w:rsid w:val="00E02D00"/>
    <w:rsid w:val="00E365F1"/>
    <w:rsid w:val="00E62F48"/>
    <w:rsid w:val="00E831B3"/>
    <w:rsid w:val="00E95256"/>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17B410"/>
  <w15:chartTrackingRefBased/>
  <w15:docId w15:val="{734C2B1A-25AD-43FB-9CF5-843C5D22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066A"/>
    <w:rPr>
      <w:rFonts w:eastAsia="Calibri"/>
      <w:b/>
      <w:caps/>
      <w:color w:val="000000"/>
      <w:sz w:val="24"/>
    </w:rPr>
  </w:style>
  <w:style w:type="character" w:customStyle="1" w:styleId="SectionBodyChar">
    <w:name w:val="Section Body Char"/>
    <w:link w:val="SectionBody"/>
    <w:rsid w:val="006C066A"/>
    <w:rPr>
      <w:rFonts w:eastAsia="Calibri"/>
      <w:color w:val="000000"/>
    </w:rPr>
  </w:style>
  <w:style w:type="character" w:customStyle="1" w:styleId="SectionHeadingChar">
    <w:name w:val="Section Heading Char"/>
    <w:link w:val="SectionHeading"/>
    <w:rsid w:val="006C066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20E5797FF4D6A97F2B5E6E475EFBD"/>
        <w:category>
          <w:name w:val="General"/>
          <w:gallery w:val="placeholder"/>
        </w:category>
        <w:types>
          <w:type w:val="bbPlcHdr"/>
        </w:types>
        <w:behaviors>
          <w:behavior w:val="content"/>
        </w:behaviors>
        <w:guid w:val="{AA49F010-D55F-416F-A3E9-AB6B3EAADB81}"/>
      </w:docPartPr>
      <w:docPartBody>
        <w:p w:rsidR="0028494A" w:rsidRDefault="0028494A">
          <w:pPr>
            <w:pStyle w:val="87020E5797FF4D6A97F2B5E6E475EFBD"/>
          </w:pPr>
          <w:r w:rsidRPr="00B844FE">
            <w:t>Prefix Text</w:t>
          </w:r>
        </w:p>
      </w:docPartBody>
    </w:docPart>
    <w:docPart>
      <w:docPartPr>
        <w:name w:val="E94D4F93385E44F9B764F686ABABB48E"/>
        <w:category>
          <w:name w:val="General"/>
          <w:gallery w:val="placeholder"/>
        </w:category>
        <w:types>
          <w:type w:val="bbPlcHdr"/>
        </w:types>
        <w:behaviors>
          <w:behavior w:val="content"/>
        </w:behaviors>
        <w:guid w:val="{EC1B60A5-05ED-4235-B13C-23F20BB8B2BE}"/>
      </w:docPartPr>
      <w:docPartBody>
        <w:p w:rsidR="0028494A" w:rsidRDefault="0028494A">
          <w:pPr>
            <w:pStyle w:val="E94D4F93385E44F9B764F686ABABB48E"/>
          </w:pPr>
          <w:r w:rsidRPr="00B844FE">
            <w:t>[Type here]</w:t>
          </w:r>
        </w:p>
      </w:docPartBody>
    </w:docPart>
    <w:docPart>
      <w:docPartPr>
        <w:name w:val="C6E68E74AEF14550AD9A33FB5F8C2E2A"/>
        <w:category>
          <w:name w:val="General"/>
          <w:gallery w:val="placeholder"/>
        </w:category>
        <w:types>
          <w:type w:val="bbPlcHdr"/>
        </w:types>
        <w:behaviors>
          <w:behavior w:val="content"/>
        </w:behaviors>
        <w:guid w:val="{18791544-29ED-484C-9E88-E729E15977E5}"/>
      </w:docPartPr>
      <w:docPartBody>
        <w:p w:rsidR="0028494A" w:rsidRDefault="0028494A">
          <w:pPr>
            <w:pStyle w:val="C6E68E74AEF14550AD9A33FB5F8C2E2A"/>
          </w:pPr>
          <w:r w:rsidRPr="00B844FE">
            <w:t>Number</w:t>
          </w:r>
        </w:p>
      </w:docPartBody>
    </w:docPart>
    <w:docPart>
      <w:docPartPr>
        <w:name w:val="1A233D0B9C4E4E78814B4F25EB7E2BA7"/>
        <w:category>
          <w:name w:val="General"/>
          <w:gallery w:val="placeholder"/>
        </w:category>
        <w:types>
          <w:type w:val="bbPlcHdr"/>
        </w:types>
        <w:behaviors>
          <w:behavior w:val="content"/>
        </w:behaviors>
        <w:guid w:val="{9762D74C-1F94-45A8-A8FC-9611882C23D6}"/>
      </w:docPartPr>
      <w:docPartBody>
        <w:p w:rsidR="0028494A" w:rsidRDefault="0028494A">
          <w:pPr>
            <w:pStyle w:val="1A233D0B9C4E4E78814B4F25EB7E2BA7"/>
          </w:pPr>
          <w:r w:rsidRPr="00B844FE">
            <w:t>Enter Sponsors Here</w:t>
          </w:r>
        </w:p>
      </w:docPartBody>
    </w:docPart>
    <w:docPart>
      <w:docPartPr>
        <w:name w:val="4F248C0898E04415A5903032663B2E68"/>
        <w:category>
          <w:name w:val="General"/>
          <w:gallery w:val="placeholder"/>
        </w:category>
        <w:types>
          <w:type w:val="bbPlcHdr"/>
        </w:types>
        <w:behaviors>
          <w:behavior w:val="content"/>
        </w:behaviors>
        <w:guid w:val="{5C6C601A-5A1A-4BC1-9964-5CF803CC88BD}"/>
      </w:docPartPr>
      <w:docPartBody>
        <w:p w:rsidR="0028494A" w:rsidRDefault="0028494A">
          <w:pPr>
            <w:pStyle w:val="4F248C0898E04415A5903032663B2E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4A"/>
    <w:rsid w:val="0028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20E5797FF4D6A97F2B5E6E475EFBD">
    <w:name w:val="87020E5797FF4D6A97F2B5E6E475EFBD"/>
  </w:style>
  <w:style w:type="paragraph" w:customStyle="1" w:styleId="E94D4F93385E44F9B764F686ABABB48E">
    <w:name w:val="E94D4F93385E44F9B764F686ABABB48E"/>
  </w:style>
  <w:style w:type="paragraph" w:customStyle="1" w:styleId="C6E68E74AEF14550AD9A33FB5F8C2E2A">
    <w:name w:val="C6E68E74AEF14550AD9A33FB5F8C2E2A"/>
  </w:style>
  <w:style w:type="paragraph" w:customStyle="1" w:styleId="1A233D0B9C4E4E78814B4F25EB7E2BA7">
    <w:name w:val="1A233D0B9C4E4E78814B4F25EB7E2BA7"/>
  </w:style>
  <w:style w:type="character" w:styleId="PlaceholderText">
    <w:name w:val="Placeholder Text"/>
    <w:basedOn w:val="DefaultParagraphFont"/>
    <w:uiPriority w:val="99"/>
    <w:semiHidden/>
    <w:rPr>
      <w:color w:val="808080"/>
    </w:rPr>
  </w:style>
  <w:style w:type="paragraph" w:customStyle="1" w:styleId="4F248C0898E04415A5903032663B2E68">
    <w:name w:val="4F248C0898E04415A5903032663B2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14</cp:revision>
  <dcterms:created xsi:type="dcterms:W3CDTF">2022-02-04T13:36:00Z</dcterms:created>
  <dcterms:modified xsi:type="dcterms:W3CDTF">2022-02-17T20:04:00Z</dcterms:modified>
</cp:coreProperties>
</file>